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1C8B3" w14:textId="4F1AA7CD" w:rsidR="007F0639" w:rsidRPr="007F0639" w:rsidRDefault="007F0639" w:rsidP="00C67A71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32EC7">
        <w:rPr>
          <w:b/>
          <w:sz w:val="28"/>
          <w:szCs w:val="28"/>
        </w:rPr>
        <w:tab/>
      </w:r>
      <w:r w:rsidR="00F32EC7">
        <w:rPr>
          <w:b/>
          <w:sz w:val="28"/>
          <w:szCs w:val="28"/>
        </w:rPr>
        <w:tab/>
      </w:r>
      <w:r w:rsidR="00F32EC7">
        <w:rPr>
          <w:b/>
          <w:sz w:val="28"/>
          <w:szCs w:val="28"/>
        </w:rPr>
        <w:tab/>
      </w:r>
      <w:r w:rsidR="00FC77CA">
        <w:rPr>
          <w:sz w:val="24"/>
          <w:szCs w:val="24"/>
        </w:rPr>
        <w:t>March 10</w:t>
      </w:r>
      <w:r w:rsidRPr="007F0639">
        <w:rPr>
          <w:sz w:val="24"/>
          <w:szCs w:val="24"/>
        </w:rPr>
        <w:t>, 20</w:t>
      </w:r>
      <w:r w:rsidR="00B72BB3">
        <w:rPr>
          <w:sz w:val="24"/>
          <w:szCs w:val="24"/>
        </w:rPr>
        <w:t>20</w:t>
      </w:r>
    </w:p>
    <w:p w14:paraId="116DE398" w14:textId="77777777" w:rsidR="00F32EC7" w:rsidRDefault="00F32EC7" w:rsidP="00C67A71">
      <w:pPr>
        <w:jc w:val="center"/>
        <w:rPr>
          <w:b/>
          <w:sz w:val="28"/>
          <w:szCs w:val="28"/>
        </w:rPr>
      </w:pPr>
    </w:p>
    <w:p w14:paraId="4C7B9AAB" w14:textId="292C5381" w:rsidR="00DB1D1B" w:rsidRDefault="00CD5BFD" w:rsidP="00BA2ECD">
      <w:pPr>
        <w:jc w:val="center"/>
        <w:rPr>
          <w:b/>
          <w:sz w:val="28"/>
          <w:szCs w:val="28"/>
        </w:rPr>
      </w:pPr>
      <w:r w:rsidRPr="00C67A71">
        <w:rPr>
          <w:b/>
          <w:sz w:val="28"/>
          <w:szCs w:val="28"/>
        </w:rPr>
        <w:t>Fire Potential Index</w:t>
      </w:r>
    </w:p>
    <w:p w14:paraId="0CD2CA3A" w14:textId="1598D938" w:rsidR="007F0639" w:rsidRDefault="00DB1D1B">
      <w:r>
        <w:t xml:space="preserve">The Fire Potential Index (FPI) is a tool that is used to </w:t>
      </w:r>
      <w:r w:rsidR="00432617">
        <w:t>estimate fire potential</w:t>
      </w:r>
      <w:r w:rsidR="00986C5C">
        <w:t xml:space="preserve"> across the landscape</w:t>
      </w:r>
      <w:r w:rsidR="00432617">
        <w:t xml:space="preserve"> based on weather an</w:t>
      </w:r>
      <w:r w:rsidR="00986C5C">
        <w:t>d</w:t>
      </w:r>
      <w:r w:rsidR="00432617">
        <w:t xml:space="preserve"> fuel (vegetation) conditions</w:t>
      </w:r>
      <w:r w:rsidR="00986C5C">
        <w:t>.</w:t>
      </w:r>
      <w:r w:rsidR="00270B87">
        <w:t xml:space="preserve"> The weather component of the index </w:t>
      </w:r>
      <w:r w:rsidR="00D22A32">
        <w:t xml:space="preserve">consists of </w:t>
      </w:r>
      <w:r w:rsidR="00270B87">
        <w:t>sustained wind speed</w:t>
      </w:r>
      <w:r w:rsidR="00763CB1">
        <w:t xml:space="preserve"> </w:t>
      </w:r>
      <w:r w:rsidR="00270B87">
        <w:t>and dew point depression</w:t>
      </w:r>
      <w:r w:rsidR="00763CB1">
        <w:t xml:space="preserve"> (</w:t>
      </w:r>
      <w:r w:rsidR="00270B87">
        <w:t>dryness of the air</w:t>
      </w:r>
      <w:r w:rsidR="00763CB1">
        <w:t xml:space="preserve">), while the </w:t>
      </w:r>
      <w:r>
        <w:t xml:space="preserve">fuels component incorporates the state of green-up or curing of the annual grasses, live fuel moisture, and dead fuel moisture. </w:t>
      </w:r>
      <w:r w:rsidR="00BA4294">
        <w:t xml:space="preserve">In addition, the FPI considers fuel loading which is </w:t>
      </w:r>
      <w:r w:rsidR="0096675E">
        <w:t>the amount of vegetation on the ground. Th</w:t>
      </w:r>
      <w:bookmarkStart w:id="0" w:name="_GoBack"/>
      <w:bookmarkEnd w:id="0"/>
      <w:r w:rsidR="0096675E">
        <w:t>e index is calculated at the circuit level twice a day out to 5 days at a 3-hourly temporal resolution. The following formula is used to calculate FPI:</w:t>
      </w:r>
    </w:p>
    <w:p w14:paraId="782B4D46" w14:textId="77777777" w:rsidR="003B376E" w:rsidRPr="005A295A" w:rsidRDefault="003B376E" w:rsidP="003B376E">
      <w:pPr>
        <w:ind w:left="2160" w:firstLine="720"/>
        <w:rPr>
          <w:rFonts w:eastAsiaTheme="minorEastAsia"/>
          <w:b/>
          <w:sz w:val="24"/>
          <w:szCs w:val="24"/>
        </w:rPr>
      </w:pPr>
      <w:r w:rsidRPr="005A295A">
        <w:rPr>
          <w:b/>
          <w:sz w:val="24"/>
          <w:szCs w:val="24"/>
        </w:rPr>
        <w:t xml:space="preserve">FPI = </w:t>
      </w:r>
      <m:oMath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DL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LFM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FLx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+Wx</m:t>
        </m:r>
      </m:oMath>
    </w:p>
    <w:p w14:paraId="30D4E9E7" w14:textId="4302B4C4" w:rsidR="00DA52C7" w:rsidRDefault="00CD5BFD" w:rsidP="0010656B">
      <w:r>
        <w:t>Where DL is the dryness level</w:t>
      </w:r>
      <w:r w:rsidR="00B04FFF">
        <w:t xml:space="preserve"> which is comprised of the Energy Release Component</w:t>
      </w:r>
      <w:r w:rsidR="00616132">
        <w:rPr>
          <w:rStyle w:val="FootnoteReference"/>
        </w:rPr>
        <w:footnoteReference w:id="1"/>
      </w:r>
      <w:r w:rsidR="00B04FFF">
        <w:t xml:space="preserve"> and the 10-hour dead fuel moisture time</w:t>
      </w:r>
      <w:r w:rsidR="0098223A">
        <w:t>-</w:t>
      </w:r>
      <w:r w:rsidR="00B04FFF">
        <w:t>lag</w:t>
      </w:r>
      <w:r w:rsidR="00B95CFD">
        <w:rPr>
          <w:rStyle w:val="FootnoteReference"/>
        </w:rPr>
        <w:footnoteReference w:id="2"/>
      </w:r>
      <w:r>
        <w:t>, LFM is the moisture</w:t>
      </w:r>
      <w:r w:rsidR="00CE4AD5">
        <w:t xml:space="preserve"> content of the living vegetation</w:t>
      </w:r>
      <w:r>
        <w:t xml:space="preserve">, G is the </w:t>
      </w:r>
      <w:r w:rsidR="008366B5">
        <w:t xml:space="preserve">degree of green-up </w:t>
      </w:r>
      <w:r>
        <w:t>of the annual grass</w:t>
      </w:r>
      <w:r w:rsidR="00ED2CFB">
        <w:t xml:space="preserve"> based on the Normalized Difference Vegetation Index (NDVI)</w:t>
      </w:r>
      <w:r>
        <w:t xml:space="preserve">, </w:t>
      </w:r>
      <w:proofErr w:type="spellStart"/>
      <w:r w:rsidR="00FD668F">
        <w:t>FLx</w:t>
      </w:r>
      <w:proofErr w:type="spellEnd"/>
      <w:r w:rsidR="00FD668F">
        <w:t xml:space="preserve"> is the fuel loading modifier associated with low, moderate, and heavy fuel loading corresponding to 5., .75, and 1 respectively</w:t>
      </w:r>
      <w:r w:rsidR="009C7C60">
        <w:t xml:space="preserve">, </w:t>
      </w:r>
      <w:r>
        <w:t xml:space="preserve">and </w:t>
      </w:r>
      <w:proofErr w:type="spellStart"/>
      <w:r>
        <w:t>Wx</w:t>
      </w:r>
      <w:proofErr w:type="spellEnd"/>
      <w:r>
        <w:t xml:space="preserve"> is the weather component which ref</w:t>
      </w:r>
      <w:r w:rsidR="00ED6EF5">
        <w:t xml:space="preserve">erences </w:t>
      </w:r>
      <w:r>
        <w:t xml:space="preserve">a matrix consisting of winds speed and </w:t>
      </w:r>
      <w:r w:rsidR="00AF106F">
        <w:t xml:space="preserve">dew point depression values. </w:t>
      </w:r>
    </w:p>
    <w:p w14:paraId="67CFF241" w14:textId="3FA49D1E" w:rsidR="00FC77CA" w:rsidRDefault="00133088" w:rsidP="0010656B">
      <w:r>
        <w:t xml:space="preserve">The FPI output ranges from 1 to 17 which has been broken in three categories: Normal (1-11), Elevated (12-14), and Extreme (15+). </w:t>
      </w:r>
    </w:p>
    <w:p w14:paraId="308F2665" w14:textId="235466AD" w:rsidR="000903FE" w:rsidRDefault="005E0DD2" w:rsidP="000903FE">
      <w:r>
        <w:rPr>
          <w:noProof/>
        </w:rPr>
        <w:drawing>
          <wp:anchor distT="0" distB="0" distL="114300" distR="114300" simplePos="0" relativeHeight="251658240" behindDoc="0" locked="0" layoutInCell="1" allowOverlap="1" wp14:anchorId="79642363" wp14:editId="4446982F">
            <wp:simplePos x="0" y="0"/>
            <wp:positionH relativeFrom="column">
              <wp:posOffset>205740</wp:posOffset>
            </wp:positionH>
            <wp:positionV relativeFrom="paragraph">
              <wp:posOffset>217170</wp:posOffset>
            </wp:positionV>
            <wp:extent cx="5440680" cy="2875539"/>
            <wp:effectExtent l="0" t="0" r="7620" b="1270"/>
            <wp:wrapSquare wrapText="bothSides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PI Struct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2875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3946E" w14:textId="664AB554" w:rsidR="00BD362F" w:rsidRDefault="00BD362F" w:rsidP="00BD362F">
      <w:pPr>
        <w:keepNext/>
      </w:pPr>
    </w:p>
    <w:p w14:paraId="23166B5A" w14:textId="1C83CC65" w:rsidR="00BA7B6F" w:rsidRDefault="00236501" w:rsidP="00F32EC7">
      <w:pPr>
        <w:contextualSpacing/>
      </w:pPr>
      <w:r w:rsidRPr="00236501">
        <w:rPr>
          <w:noProof/>
        </w:rPr>
        <w:drawing>
          <wp:inline distT="0" distB="0" distL="0" distR="0" wp14:anchorId="074500B5" wp14:editId="7D38D433">
            <wp:extent cx="2984500" cy="641350"/>
            <wp:effectExtent l="0" t="0" r="6350" b="635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60FFA" w14:textId="09B87408" w:rsidR="00BA7B6F" w:rsidRDefault="00BA7B6F" w:rsidP="00F32EC7">
      <w:pPr>
        <w:contextualSpacing/>
      </w:pPr>
    </w:p>
    <w:p w14:paraId="044815ED" w14:textId="56603EBD" w:rsidR="00EF429C" w:rsidRDefault="00EF429C" w:rsidP="00F32EC7">
      <w:pPr>
        <w:contextualSpacing/>
      </w:pPr>
    </w:p>
    <w:p w14:paraId="4553C588" w14:textId="6B22C8A8" w:rsidR="00EF429C" w:rsidRDefault="00EF429C" w:rsidP="00F32EC7">
      <w:pPr>
        <w:contextualSpacing/>
      </w:pPr>
      <w:r w:rsidRPr="00EF429C">
        <w:rPr>
          <w:noProof/>
        </w:rPr>
        <w:drawing>
          <wp:inline distT="0" distB="0" distL="0" distR="0" wp14:anchorId="644257C6" wp14:editId="602E354C">
            <wp:extent cx="2984500" cy="628650"/>
            <wp:effectExtent l="0" t="0" r="6350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8B3AB" w14:textId="1D1DBFD5" w:rsidR="00900030" w:rsidRDefault="00900030" w:rsidP="00F32EC7">
      <w:pPr>
        <w:contextualSpacing/>
      </w:pPr>
    </w:p>
    <w:p w14:paraId="19551A82" w14:textId="2E62D3D0" w:rsidR="00900030" w:rsidRPr="00F32EC7" w:rsidRDefault="00900030" w:rsidP="00F32EC7">
      <w:pPr>
        <w:contextualSpacing/>
      </w:pPr>
      <w:r w:rsidRPr="00900030">
        <w:rPr>
          <w:noProof/>
        </w:rPr>
        <w:drawing>
          <wp:inline distT="0" distB="0" distL="0" distR="0" wp14:anchorId="20649075" wp14:editId="4D068D54">
            <wp:extent cx="4400550" cy="1841500"/>
            <wp:effectExtent l="0" t="0" r="0" b="635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0030" w:rsidRPr="00F32EC7" w:rsidSect="00F363E0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9ADC8" w14:textId="77777777" w:rsidR="00465B32" w:rsidRDefault="00465B32" w:rsidP="00616132">
      <w:pPr>
        <w:spacing w:after="0"/>
      </w:pPr>
      <w:r>
        <w:separator/>
      </w:r>
    </w:p>
  </w:endnote>
  <w:endnote w:type="continuationSeparator" w:id="0">
    <w:p w14:paraId="1F492FA5" w14:textId="77777777" w:rsidR="00465B32" w:rsidRDefault="00465B32" w:rsidP="006161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1C84D" w14:textId="77777777" w:rsidR="00465B32" w:rsidRDefault="00465B32" w:rsidP="00616132">
      <w:pPr>
        <w:spacing w:after="0"/>
      </w:pPr>
      <w:r>
        <w:separator/>
      </w:r>
    </w:p>
  </w:footnote>
  <w:footnote w:type="continuationSeparator" w:id="0">
    <w:p w14:paraId="357FAD7E" w14:textId="77777777" w:rsidR="00465B32" w:rsidRDefault="00465B32" w:rsidP="00616132">
      <w:pPr>
        <w:spacing w:after="0"/>
      </w:pPr>
      <w:r>
        <w:continuationSeparator/>
      </w:r>
    </w:p>
  </w:footnote>
  <w:footnote w:id="1">
    <w:p w14:paraId="7514C15D" w14:textId="6E7F1EE6" w:rsidR="00616132" w:rsidRDefault="006161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53A3F">
        <w:t xml:space="preserve">Energy Release Component (ERC) is a measure of potential energy </w:t>
      </w:r>
      <w:r w:rsidR="00182AE9">
        <w:t>(BTU)</w:t>
      </w:r>
      <w:r w:rsidR="006B5117">
        <w:t xml:space="preserve"> </w:t>
      </w:r>
      <w:r w:rsidR="00353A3F">
        <w:t>at the flaming front of a fire</w:t>
      </w:r>
      <w:r w:rsidR="004F3BF6">
        <w:t xml:space="preserve"> and </w:t>
      </w:r>
      <w:r w:rsidR="003F22D5">
        <w:t>is</w:t>
      </w:r>
      <w:r w:rsidR="004F3BF6">
        <w:t xml:space="preserve"> a composite of fuel moisture</w:t>
      </w:r>
      <w:r w:rsidR="006B5117">
        <w:t xml:space="preserve"> </w:t>
      </w:r>
      <w:r w:rsidR="004F3BF6">
        <w:t>from</w:t>
      </w:r>
      <w:r w:rsidR="00A05F47">
        <w:t xml:space="preserve"> various dead and live fuel</w:t>
      </w:r>
      <w:r w:rsidR="006B5117">
        <w:t>s</w:t>
      </w:r>
      <w:r w:rsidR="00A05F47">
        <w:t>.</w:t>
      </w:r>
    </w:p>
  </w:footnote>
  <w:footnote w:id="2">
    <w:p w14:paraId="33CF45F2" w14:textId="2778521E" w:rsidR="00B95CFD" w:rsidRDefault="00B95CFD">
      <w:pPr>
        <w:pStyle w:val="FootnoteText"/>
      </w:pPr>
      <w:r>
        <w:rPr>
          <w:rStyle w:val="FootnoteReference"/>
        </w:rPr>
        <w:footnoteRef/>
      </w:r>
      <w:r>
        <w:t xml:space="preserve"> Th</w:t>
      </w:r>
      <w:r w:rsidR="000410CE">
        <w:t xml:space="preserve">e time required for </w:t>
      </w:r>
      <w:r w:rsidR="002F2C52">
        <w:t>dead vegetation (1/</w:t>
      </w:r>
      <w:r w:rsidR="000410CE">
        <w:t>2</w:t>
      </w:r>
      <w:r w:rsidR="002F2C52">
        <w:t>” diameter) to respond to changes in ambient temperature and humidity.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BFD"/>
    <w:rsid w:val="00032890"/>
    <w:rsid w:val="000410CE"/>
    <w:rsid w:val="00055C1C"/>
    <w:rsid w:val="0005782A"/>
    <w:rsid w:val="000601CF"/>
    <w:rsid w:val="00076695"/>
    <w:rsid w:val="000903FE"/>
    <w:rsid w:val="000C05C5"/>
    <w:rsid w:val="000D3697"/>
    <w:rsid w:val="00100AB4"/>
    <w:rsid w:val="0010656B"/>
    <w:rsid w:val="001079E3"/>
    <w:rsid w:val="00107B02"/>
    <w:rsid w:val="00121544"/>
    <w:rsid w:val="001324EF"/>
    <w:rsid w:val="00133088"/>
    <w:rsid w:val="0014780F"/>
    <w:rsid w:val="00152348"/>
    <w:rsid w:val="00162864"/>
    <w:rsid w:val="00182AE9"/>
    <w:rsid w:val="001D04D6"/>
    <w:rsid w:val="001F74E0"/>
    <w:rsid w:val="00203553"/>
    <w:rsid w:val="00215846"/>
    <w:rsid w:val="00236501"/>
    <w:rsid w:val="00270B87"/>
    <w:rsid w:val="00272E69"/>
    <w:rsid w:val="002C5338"/>
    <w:rsid w:val="002D29BC"/>
    <w:rsid w:val="002F2C52"/>
    <w:rsid w:val="002F70D8"/>
    <w:rsid w:val="00314578"/>
    <w:rsid w:val="00324185"/>
    <w:rsid w:val="00344C74"/>
    <w:rsid w:val="00352CD1"/>
    <w:rsid w:val="00353A3F"/>
    <w:rsid w:val="003747D1"/>
    <w:rsid w:val="003B376E"/>
    <w:rsid w:val="003C546F"/>
    <w:rsid w:val="003F22D5"/>
    <w:rsid w:val="00415448"/>
    <w:rsid w:val="004233AA"/>
    <w:rsid w:val="00432617"/>
    <w:rsid w:val="00465B32"/>
    <w:rsid w:val="00467260"/>
    <w:rsid w:val="00484ECD"/>
    <w:rsid w:val="00491F8F"/>
    <w:rsid w:val="004B6876"/>
    <w:rsid w:val="004C3E41"/>
    <w:rsid w:val="004E68DF"/>
    <w:rsid w:val="004F3BF6"/>
    <w:rsid w:val="00516729"/>
    <w:rsid w:val="00517B03"/>
    <w:rsid w:val="00521A1A"/>
    <w:rsid w:val="005539A5"/>
    <w:rsid w:val="00573291"/>
    <w:rsid w:val="00594E69"/>
    <w:rsid w:val="005A295A"/>
    <w:rsid w:val="005E05AB"/>
    <w:rsid w:val="005E0DD2"/>
    <w:rsid w:val="005F0A52"/>
    <w:rsid w:val="005F4B9E"/>
    <w:rsid w:val="00601226"/>
    <w:rsid w:val="00612C83"/>
    <w:rsid w:val="006147F1"/>
    <w:rsid w:val="00616132"/>
    <w:rsid w:val="0062438B"/>
    <w:rsid w:val="00647F70"/>
    <w:rsid w:val="006B5117"/>
    <w:rsid w:val="00727B94"/>
    <w:rsid w:val="00763CB1"/>
    <w:rsid w:val="007B7686"/>
    <w:rsid w:val="007F0639"/>
    <w:rsid w:val="00821378"/>
    <w:rsid w:val="008366B5"/>
    <w:rsid w:val="00850482"/>
    <w:rsid w:val="008863B8"/>
    <w:rsid w:val="008B7C38"/>
    <w:rsid w:val="008F3853"/>
    <w:rsid w:val="00900030"/>
    <w:rsid w:val="0091617B"/>
    <w:rsid w:val="009350FE"/>
    <w:rsid w:val="0096675E"/>
    <w:rsid w:val="0098223A"/>
    <w:rsid w:val="00986C5C"/>
    <w:rsid w:val="009C7C60"/>
    <w:rsid w:val="009E02B8"/>
    <w:rsid w:val="00A0553C"/>
    <w:rsid w:val="00A05F47"/>
    <w:rsid w:val="00A3412C"/>
    <w:rsid w:val="00A36AF9"/>
    <w:rsid w:val="00A532FF"/>
    <w:rsid w:val="00A534D8"/>
    <w:rsid w:val="00A5567D"/>
    <w:rsid w:val="00A65DEB"/>
    <w:rsid w:val="00A87139"/>
    <w:rsid w:val="00A956E4"/>
    <w:rsid w:val="00AA3684"/>
    <w:rsid w:val="00AC67B7"/>
    <w:rsid w:val="00AE3597"/>
    <w:rsid w:val="00AF106F"/>
    <w:rsid w:val="00AF179F"/>
    <w:rsid w:val="00B04FFF"/>
    <w:rsid w:val="00B11258"/>
    <w:rsid w:val="00B31A53"/>
    <w:rsid w:val="00B32E38"/>
    <w:rsid w:val="00B457FD"/>
    <w:rsid w:val="00B61A90"/>
    <w:rsid w:val="00B644ED"/>
    <w:rsid w:val="00B72BB3"/>
    <w:rsid w:val="00B95CFD"/>
    <w:rsid w:val="00BA2ECD"/>
    <w:rsid w:val="00BA4294"/>
    <w:rsid w:val="00BA7B6F"/>
    <w:rsid w:val="00BD362F"/>
    <w:rsid w:val="00BE3AB0"/>
    <w:rsid w:val="00C15B6E"/>
    <w:rsid w:val="00C26FF6"/>
    <w:rsid w:val="00C47089"/>
    <w:rsid w:val="00C6531B"/>
    <w:rsid w:val="00C679DF"/>
    <w:rsid w:val="00C67A71"/>
    <w:rsid w:val="00C77158"/>
    <w:rsid w:val="00C82C58"/>
    <w:rsid w:val="00C83C5F"/>
    <w:rsid w:val="00C92A39"/>
    <w:rsid w:val="00C94A5B"/>
    <w:rsid w:val="00CA1382"/>
    <w:rsid w:val="00CC17A8"/>
    <w:rsid w:val="00CD5BFD"/>
    <w:rsid w:val="00CE1874"/>
    <w:rsid w:val="00CE4AD5"/>
    <w:rsid w:val="00D22A32"/>
    <w:rsid w:val="00D24ED3"/>
    <w:rsid w:val="00D32886"/>
    <w:rsid w:val="00D718FF"/>
    <w:rsid w:val="00DA2CF6"/>
    <w:rsid w:val="00DA52C7"/>
    <w:rsid w:val="00DB05A7"/>
    <w:rsid w:val="00DB1BEA"/>
    <w:rsid w:val="00DB1D1B"/>
    <w:rsid w:val="00DC0AF3"/>
    <w:rsid w:val="00DD35D6"/>
    <w:rsid w:val="00E303F1"/>
    <w:rsid w:val="00E36AFF"/>
    <w:rsid w:val="00E510E2"/>
    <w:rsid w:val="00E72469"/>
    <w:rsid w:val="00E92EAE"/>
    <w:rsid w:val="00E96F69"/>
    <w:rsid w:val="00EB31F3"/>
    <w:rsid w:val="00ED2CFB"/>
    <w:rsid w:val="00ED3A1C"/>
    <w:rsid w:val="00ED6EF5"/>
    <w:rsid w:val="00EE00D0"/>
    <w:rsid w:val="00EF429C"/>
    <w:rsid w:val="00F32EC7"/>
    <w:rsid w:val="00F363E0"/>
    <w:rsid w:val="00F45FF1"/>
    <w:rsid w:val="00F51D46"/>
    <w:rsid w:val="00F95754"/>
    <w:rsid w:val="00FC77CA"/>
    <w:rsid w:val="00FD668F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BC9AA"/>
  <w15:chartTrackingRefBased/>
  <w15:docId w15:val="{D179E753-4CF6-45B2-A9A5-04966BFC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16132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61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613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5F47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5F4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5F47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0601C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6AC460B03419459065556B7539922A" ma:contentTypeVersion="13" ma:contentTypeDescription="Create a new document." ma:contentTypeScope="" ma:versionID="f0443b8359795c0a0e809cadaca1e7b3">
  <xsd:schema xmlns:xsd="http://www.w3.org/2001/XMLSchema" xmlns:xs="http://www.w3.org/2001/XMLSchema" xmlns:p="http://schemas.microsoft.com/office/2006/metadata/properties" xmlns:ns3="b9ea5b36-69f1-4856-b2e8-aa384e811c21" xmlns:ns4="24f4e090-9f92-4434-adf6-218da47b6711" targetNamespace="http://schemas.microsoft.com/office/2006/metadata/properties" ma:root="true" ma:fieldsID="e5949ad25ac4957b798003a5a7c98dae" ns3:_="" ns4:_="">
    <xsd:import namespace="b9ea5b36-69f1-4856-b2e8-aa384e811c21"/>
    <xsd:import namespace="24f4e090-9f92-4434-adf6-218da47b67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a5b36-69f1-4856-b2e8-aa384e811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4e090-9f92-4434-adf6-218da47b67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56238-9B10-4878-BE99-0B4748655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a5b36-69f1-4856-b2e8-aa384e811c21"/>
    <ds:schemaRef ds:uri="24f4e090-9f92-4434-adf6-218da47b6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FF6959-BB8D-496D-9FB4-9A75ACF4C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08ED6-C998-4729-AA86-8DB7782BC6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18CA83-684B-4479-BC24-5EFC73BB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Rolinski</dc:creator>
  <cp:keywords/>
  <dc:description/>
  <cp:lastModifiedBy>Jeff Berson</cp:lastModifiedBy>
  <cp:revision>3</cp:revision>
  <dcterms:created xsi:type="dcterms:W3CDTF">2020-03-10T17:44:00Z</dcterms:created>
  <dcterms:modified xsi:type="dcterms:W3CDTF">2020-03-10T17:44:00Z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0x0101003A6AC460B03419459065556B7539922A</vt:lpwstr>
  </property>
</Properties>
</file>